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2775F" w:rsidP="00F2775F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  <w:r w:rsidR="000929EE">
        <w:rPr>
          <w:sz w:val="28"/>
          <w:szCs w:val="28"/>
        </w:rPr>
        <w:t xml:space="preserve"> (5)</w:t>
      </w:r>
      <w:bookmarkStart w:id="0" w:name="_GoBack"/>
      <w:bookmarkEnd w:id="0"/>
      <w:r>
        <w:rPr>
          <w:sz w:val="28"/>
          <w:szCs w:val="28"/>
        </w:rPr>
        <w:t xml:space="preserve"> от 1 февраля</w:t>
      </w:r>
    </w:p>
    <w:p w:rsidR="00F2775F" w:rsidRDefault="00F2775F" w:rsidP="00F2775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 тональности соль мажор.</w:t>
      </w:r>
    </w:p>
    <w:p w:rsidR="00F2775F" w:rsidRDefault="00F2775F" w:rsidP="00F00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Пение гаммы тетрахордами</w:t>
      </w:r>
    </w:p>
    <w:p w:rsidR="00F0029A" w:rsidRPr="00F0029A" w:rsidRDefault="00F2775F" w:rsidP="00F00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Тетрахорд – это четыре звука, которые делят гамму пополам, поэтому есть нижний тетрахор</w:t>
      </w:r>
      <w:proofErr w:type="gramStart"/>
      <w:r>
        <w:rPr>
          <w:sz w:val="28"/>
          <w:szCs w:val="28"/>
        </w:rPr>
        <w:t>д(</w:t>
      </w:r>
      <w:proofErr w:type="spellStart"/>
      <w:proofErr w:type="gramEnd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>) и верхний тетрахорд(</w:t>
      </w:r>
      <w:proofErr w:type="spellStart"/>
      <w:r>
        <w:rPr>
          <w:sz w:val="28"/>
          <w:szCs w:val="28"/>
        </w:rPr>
        <w:t>в.т</w:t>
      </w:r>
      <w:proofErr w:type="spellEnd"/>
      <w:r>
        <w:rPr>
          <w:sz w:val="28"/>
          <w:szCs w:val="28"/>
        </w:rPr>
        <w:t>)</w:t>
      </w:r>
    </w:p>
    <w:p w:rsidR="00F0029A" w:rsidRDefault="00F0029A" w:rsidP="00F2775F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Пример:</w:t>
      </w:r>
    </w:p>
    <w:p w:rsidR="00F2775F" w:rsidRDefault="00F2775F" w:rsidP="00F2775F">
      <w:pPr>
        <w:pStyle w:val="a3"/>
        <w:jc w:val="both"/>
        <w:rPr>
          <w:sz w:val="28"/>
          <w:szCs w:val="28"/>
        </w:rPr>
      </w:pPr>
      <w:r w:rsidRPr="00F2775F">
        <w:rPr>
          <w:sz w:val="28"/>
          <w:szCs w:val="28"/>
          <w:lang w:val="en-US"/>
        </w:rPr>
        <w:drawing>
          <wp:inline distT="0" distB="0" distL="0" distR="0" wp14:anchorId="49E9A651" wp14:editId="239E5A07">
            <wp:extent cx="4515480" cy="1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9A" w:rsidRDefault="00F0029A" w:rsidP="00F27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Тетрахорд служит для удобства пения</w:t>
      </w:r>
    </w:p>
    <w:p w:rsidR="00F0029A" w:rsidRPr="00F0029A" w:rsidRDefault="00F0029A" w:rsidP="00F27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петь гамму соль мажор тетрахордами, вводные звуки; </w:t>
      </w:r>
      <w:proofErr w:type="spellStart"/>
      <w:r>
        <w:rPr>
          <w:sz w:val="28"/>
          <w:szCs w:val="28"/>
        </w:rPr>
        <w:t>опевать</w:t>
      </w:r>
      <w:proofErr w:type="spellEnd"/>
      <w:r>
        <w:rPr>
          <w:sz w:val="28"/>
          <w:szCs w:val="28"/>
        </w:rPr>
        <w:t xml:space="preserve"> тонику как показано на примере. Из рабочей тетради выполнить задание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26, №10, пункт В. В №51 обозначить сильные и слабые доли, не забудьте, что пример нужно переписать в тетрадь. №64 петь наизусть с </w:t>
      </w:r>
      <w:proofErr w:type="spellStart"/>
      <w:r>
        <w:rPr>
          <w:sz w:val="28"/>
          <w:szCs w:val="28"/>
        </w:rPr>
        <w:t>дережированием</w:t>
      </w:r>
      <w:proofErr w:type="spellEnd"/>
      <w:r>
        <w:rPr>
          <w:sz w:val="28"/>
          <w:szCs w:val="28"/>
        </w:rPr>
        <w:t>.</w:t>
      </w:r>
    </w:p>
    <w:sectPr w:rsidR="00F0029A" w:rsidRPr="00F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B39"/>
    <w:multiLevelType w:val="hybridMultilevel"/>
    <w:tmpl w:val="17C0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F"/>
    <w:rsid w:val="00057DCF"/>
    <w:rsid w:val="000929EE"/>
    <w:rsid w:val="009B7176"/>
    <w:rsid w:val="00F0029A"/>
    <w:rsid w:val="00F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2022-02-02T09:16:00Z</dcterms:created>
  <dcterms:modified xsi:type="dcterms:W3CDTF">2022-02-02T09:16:00Z</dcterms:modified>
</cp:coreProperties>
</file>